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4D" w:rsidRPr="004A2428" w:rsidRDefault="00C203B6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1C5F4D" w:rsidRPr="004A2428" w:rsidRDefault="00C203B6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1C5F4D" w:rsidRPr="004A2428" w:rsidRDefault="00C203B6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C5F4D" w:rsidRPr="004A2428" w:rsidRDefault="00C203B6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1C5F4D" w:rsidRPr="004A2428" w:rsidRDefault="001C5F4D" w:rsidP="001C5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428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Pr="004A24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>06-2/147-</w:t>
      </w:r>
      <w:r w:rsidRPr="004A2428">
        <w:rPr>
          <w:rFonts w:ascii="Times New Roman" w:hAnsi="Times New Roman" w:cs="Times New Roman"/>
          <w:sz w:val="24"/>
          <w:szCs w:val="24"/>
        </w:rPr>
        <w:t>20</w:t>
      </w:r>
    </w:p>
    <w:p w:rsidR="001C5F4D" w:rsidRPr="004A2428" w:rsidRDefault="00387980" w:rsidP="001C5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5C2E0E">
        <w:rPr>
          <w:rFonts w:ascii="Times New Roman" w:hAnsi="Times New Roman" w:cs="Times New Roman"/>
          <w:sz w:val="24"/>
          <w:szCs w:val="24"/>
        </w:rPr>
        <w:t>2</w:t>
      </w:r>
      <w:r w:rsidR="005C2E0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C5F4D" w:rsidRPr="004A2428" w:rsidRDefault="00C203B6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1C5F4D" w:rsidRPr="004A2428" w:rsidRDefault="001C5F4D" w:rsidP="001C5F4D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F4D" w:rsidRPr="004A2428" w:rsidRDefault="001C5F4D" w:rsidP="001C5F4D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F4D" w:rsidRPr="004A2428" w:rsidRDefault="00C203B6" w:rsidP="001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1C5F4D" w:rsidRPr="004A2428" w:rsidRDefault="00C203B6" w:rsidP="001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C5F4D" w:rsidRPr="004A242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 </w:t>
      </w:r>
      <w:r w:rsidR="003155DF">
        <w:rPr>
          <w:rFonts w:ascii="Times New Roman" w:hAnsi="Times New Roman" w:cs="Times New Roman"/>
          <w:sz w:val="24"/>
          <w:szCs w:val="24"/>
        </w:rPr>
        <w:t>4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1C5F4D"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2E0E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1C5F4D" w:rsidRPr="004A24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C5F4D" w:rsidRPr="004A2428" w:rsidRDefault="001C5F4D" w:rsidP="001C5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5F4D" w:rsidRPr="00327146" w:rsidRDefault="001C5F4D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24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2428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1C5F4D" w:rsidRPr="00327146" w:rsidRDefault="001C5F4D" w:rsidP="001C5F4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</w:rPr>
        <w:t>Sednica</w:t>
      </w:r>
      <w:r w:rsidRPr="00327146">
        <w:rPr>
          <w:rFonts w:ascii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</w:rPr>
        <w:t>je</w:t>
      </w:r>
      <w:r w:rsidRPr="00327146">
        <w:rPr>
          <w:rFonts w:ascii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</w:rPr>
        <w:t>počela</w:t>
      </w:r>
      <w:r w:rsidRPr="00327146">
        <w:rPr>
          <w:rFonts w:ascii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</w:rPr>
        <w:t>u</w:t>
      </w:r>
      <w:r w:rsidRPr="00327146">
        <w:rPr>
          <w:rFonts w:ascii="Times New Roman" w:hAnsi="Times New Roman" w:cs="Times New Roman"/>
          <w:sz w:val="24"/>
          <w:szCs w:val="24"/>
        </w:rPr>
        <w:t xml:space="preserve"> 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C2E0E" w:rsidRPr="00327146">
        <w:rPr>
          <w:rFonts w:ascii="Times New Roman" w:hAnsi="Times New Roman" w:cs="Times New Roman"/>
          <w:sz w:val="24"/>
          <w:szCs w:val="24"/>
          <w:lang w:val="sr-Cyrl-RS"/>
        </w:rPr>
        <w:t>2</w:t>
      </w:r>
      <w:proofErr w:type="gramStart"/>
      <w:r w:rsidR="005C2E0E" w:rsidRPr="00327146">
        <w:rPr>
          <w:rFonts w:ascii="Times New Roman" w:hAnsi="Times New Roman" w:cs="Times New Roman"/>
          <w:sz w:val="24"/>
          <w:szCs w:val="24"/>
        </w:rPr>
        <w:t>,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155D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271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</w:rPr>
        <w:t>časova</w:t>
      </w:r>
      <w:r w:rsidRPr="00327146">
        <w:rPr>
          <w:rFonts w:ascii="Times New Roman" w:hAnsi="Times New Roman" w:cs="Times New Roman"/>
          <w:sz w:val="24"/>
          <w:szCs w:val="24"/>
        </w:rPr>
        <w:t>.</w:t>
      </w:r>
    </w:p>
    <w:p w:rsidR="001C5F4D" w:rsidRPr="00327146" w:rsidRDefault="00FB27A5" w:rsidP="001C5F4D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C5F4D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C5F4D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 w:rsidR="001C5F4D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mr</w:t>
      </w:r>
      <w:r w:rsidR="005C2E0E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5C2E0E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  <w:r w:rsidR="001C5F4D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C5F4D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C5F4D" w:rsidRPr="003271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5F4D" w:rsidRPr="00327146" w:rsidRDefault="001C5F4D" w:rsidP="001C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7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2714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predsedavajućeg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B27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Živan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Bajić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Davidovac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Paunović</w:t>
      </w:r>
      <w:r w:rsidRPr="0032714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Pavle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Grbović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Miodrag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Gavrilović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4B65A0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Sandić</w:t>
      </w:r>
      <w:r w:rsidR="004B65A0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Zečević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Nebojša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Zelenović</w:t>
      </w:r>
      <w:r w:rsidR="00FB27A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FB27A5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660F" w:rsidRPr="003271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5F4D" w:rsidRPr="007E1CC5" w:rsidRDefault="001C5F4D" w:rsidP="001C5F4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27146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odsutnih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Tvrdišić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Tatjane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Medved</w:t>
      </w:r>
      <w:r w:rsidR="00C1660F" w:rsidRPr="003271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Dragomira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Karića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Dalibora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Jekića</w:t>
      </w:r>
      <w:r w:rsidR="004B65A0" w:rsidRPr="003271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Zagorka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Marije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Jevđić</w:t>
      </w:r>
      <w:r w:rsidR="004B65A0" w:rsidRPr="007E1CC5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181893" w:rsidRDefault="00FB27A5" w:rsidP="00FB27A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Mijailović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1C5F4D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1893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181893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4F2DE6" w:rsidRPr="007E1C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Mijailović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savetnici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Macura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Đelić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2DE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Kandić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omladine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7146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Jasna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Dobrisavljević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7146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7E1C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Dejan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Popović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predsednik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Saveta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Dejana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Stefanović</w:t>
      </w:r>
      <w:r w:rsid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Kostić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Negica</w:t>
      </w:r>
      <w:r w:rsid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Rajakov</w:t>
      </w:r>
      <w:r w:rsidR="007E1CC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Goran</w:t>
      </w:r>
      <w:r w:rsid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Petković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6C09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Aca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Marković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Saveta</w:t>
      </w:r>
      <w:r w:rsidR="00616C09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AERS</w:t>
      </w:r>
      <w:r w:rsid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Nebojša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Perić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redsednik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Komisije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="003155DF">
        <w:rPr>
          <w:rFonts w:ascii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Čedomir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Radojčić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Danijela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Bokan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Miroslava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Đošić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Siniša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Milošević</w:t>
      </w:r>
      <w:r w:rsidR="00181893" w:rsidRPr="007E1C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Saveta</w:t>
      </w:r>
      <w:r w:rsidR="00181893" w:rsidRPr="007E1CC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Latn-RS"/>
        </w:rPr>
        <w:t>Komisije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="003155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61D" w:rsidRPr="005C2E0E" w:rsidRDefault="003155DF" w:rsidP="00FB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utvrđivanja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dnevni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red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dopuni</w:t>
      </w:r>
      <w:r w:rsidR="0049161D"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tačkom</w:t>
      </w:r>
      <w:r w:rsidR="004916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21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28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61D" w:rsidRPr="005C2E0E">
        <w:rPr>
          <w:rFonts w:ascii="Times New Roman" w:hAnsi="Times New Roman" w:cs="Times New Roman"/>
          <w:sz w:val="24"/>
          <w:szCs w:val="24"/>
        </w:rPr>
        <w:t xml:space="preserve">32 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61D" w:rsidRPr="005C2E0E">
        <w:rPr>
          <w:rFonts w:ascii="Times New Roman" w:hAnsi="Times New Roman" w:cs="Times New Roman"/>
          <w:sz w:val="24"/>
          <w:szCs w:val="24"/>
        </w:rPr>
        <w:t>62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61D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omladine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uvrsti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B537B">
        <w:rPr>
          <w:rFonts w:ascii="Times New Roman" w:hAnsi="Times New Roman" w:cs="Times New Roman"/>
          <w:sz w:val="24"/>
          <w:szCs w:val="24"/>
        </w:rPr>
        <w:t xml:space="preserve"> (11 </w:t>
      </w:r>
      <w:r w:rsidR="008B537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B537B">
        <w:rPr>
          <w:rFonts w:ascii="Times New Roman" w:hAnsi="Times New Roman" w:cs="Times New Roman"/>
          <w:sz w:val="24"/>
          <w:szCs w:val="24"/>
          <w:lang w:val="sr-Cyrl-RS"/>
        </w:rPr>
        <w:t>“, 2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8B537B">
        <w:rPr>
          <w:rFonts w:ascii="Times New Roman" w:hAnsi="Times New Roman" w:cs="Times New Roman"/>
          <w:sz w:val="24"/>
          <w:szCs w:val="24"/>
          <w:lang w:val="sr-Cyrl-RS"/>
        </w:rPr>
        <w:t>“, 1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8B537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B413E">
        <w:rPr>
          <w:rFonts w:ascii="Times New Roman" w:hAnsi="Times New Roman" w:cs="Times New Roman"/>
          <w:sz w:val="24"/>
          <w:szCs w:val="24"/>
          <w:lang w:val="sr-Cyrl-RS"/>
        </w:rPr>
        <w:t>, 2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B41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BB413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B537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F4E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1893" w:rsidRPr="008D7555" w:rsidRDefault="008D7555" w:rsidP="001A3FF5">
      <w:pPr>
        <w:pStyle w:val="NormalWeb"/>
        <w:tabs>
          <w:tab w:val="left" w:pos="1418"/>
        </w:tabs>
        <w:jc w:val="both"/>
        <w:rPr>
          <w:lang w:val="sr-Cyrl-RS"/>
        </w:rPr>
      </w:pPr>
      <w:r>
        <w:rPr>
          <w:lang w:val="sr-Latn-RS"/>
        </w:rPr>
        <w:tab/>
      </w:r>
      <w:r w:rsidR="00C203B6">
        <w:rPr>
          <w:lang w:val="sr-Cyrl-RS"/>
        </w:rPr>
        <w:t>Izneta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je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primedba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da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je</w:t>
      </w:r>
      <w:r>
        <w:rPr>
          <w:lang w:val="sr-Cyrl-RS"/>
        </w:rPr>
        <w:t xml:space="preserve"> </w:t>
      </w:r>
      <w:r w:rsidR="00C203B6">
        <w:rPr>
          <w:lang w:val="sr-Cyrl-RS"/>
        </w:rPr>
        <w:t>kratak</w:t>
      </w:r>
      <w:r>
        <w:rPr>
          <w:lang w:val="sr-Cyrl-RS"/>
        </w:rPr>
        <w:t xml:space="preserve"> </w:t>
      </w:r>
      <w:r w:rsidR="00C203B6">
        <w:rPr>
          <w:lang w:val="sr-Cyrl-RS"/>
        </w:rPr>
        <w:t>rok</w:t>
      </w:r>
      <w:r>
        <w:rPr>
          <w:lang w:val="sr-Cyrl-RS"/>
        </w:rPr>
        <w:t xml:space="preserve"> </w:t>
      </w:r>
      <w:r w:rsidR="00C203B6">
        <w:rPr>
          <w:lang w:val="sr-Cyrl-RS"/>
        </w:rPr>
        <w:t>za</w:t>
      </w:r>
      <w:r>
        <w:rPr>
          <w:lang w:val="sr-Cyrl-RS"/>
        </w:rPr>
        <w:t xml:space="preserve"> </w:t>
      </w:r>
      <w:r w:rsidR="00C203B6">
        <w:rPr>
          <w:lang w:val="sr-Cyrl-RS"/>
        </w:rPr>
        <w:t>upoznavanje</w:t>
      </w:r>
      <w:r>
        <w:rPr>
          <w:lang w:val="sr-Cyrl-RS"/>
        </w:rPr>
        <w:t xml:space="preserve"> </w:t>
      </w:r>
      <w:r w:rsidR="00C203B6">
        <w:rPr>
          <w:lang w:val="sr-Cyrl-RS"/>
        </w:rPr>
        <w:t>sa</w:t>
      </w:r>
      <w:r>
        <w:rPr>
          <w:lang w:val="sr-Cyrl-RS"/>
        </w:rPr>
        <w:t xml:space="preserve"> </w:t>
      </w:r>
      <w:r w:rsidR="00C203B6">
        <w:rPr>
          <w:lang w:val="sr-Cyrl-RS"/>
        </w:rPr>
        <w:t>tekstom</w:t>
      </w:r>
      <w:r>
        <w:rPr>
          <w:lang w:val="sr-Cyrl-RS"/>
        </w:rPr>
        <w:t xml:space="preserve"> </w:t>
      </w:r>
      <w:r w:rsidR="00C203B6">
        <w:rPr>
          <w:lang w:val="sr-Cyrl-RS"/>
        </w:rPr>
        <w:t>Predloga</w:t>
      </w:r>
      <w:r>
        <w:rPr>
          <w:lang w:val="sr-Cyrl-RS"/>
        </w:rPr>
        <w:t xml:space="preserve"> </w:t>
      </w:r>
      <w:r w:rsidR="00C203B6">
        <w:rPr>
          <w:lang w:val="sr-Cyrl-RS"/>
        </w:rPr>
        <w:t>zakona</w:t>
      </w:r>
      <w:r>
        <w:rPr>
          <w:lang w:val="sr-Cyrl-RS"/>
        </w:rPr>
        <w:t xml:space="preserve"> </w:t>
      </w:r>
      <w:r w:rsidR="00C203B6">
        <w:rPr>
          <w:lang w:val="sr-Cyrl-RS"/>
        </w:rPr>
        <w:t>i</w:t>
      </w:r>
      <w:r>
        <w:rPr>
          <w:lang w:val="sr-Cyrl-RS"/>
        </w:rPr>
        <w:t xml:space="preserve"> </w:t>
      </w:r>
      <w:r w:rsidR="00C203B6">
        <w:rPr>
          <w:lang w:val="sr-Cyrl-RS"/>
        </w:rPr>
        <w:t>iznet</w:t>
      </w:r>
      <w:r>
        <w:rPr>
          <w:lang w:val="sr-Cyrl-RS"/>
        </w:rPr>
        <w:t xml:space="preserve"> </w:t>
      </w:r>
      <w:r w:rsidR="00C203B6">
        <w:rPr>
          <w:lang w:val="sr-Cyrl-RS"/>
        </w:rPr>
        <w:t>predlog</w:t>
      </w:r>
      <w:r>
        <w:rPr>
          <w:lang w:val="sr-Cyrl-RS"/>
        </w:rPr>
        <w:t xml:space="preserve"> </w:t>
      </w:r>
      <w:r w:rsidR="00C203B6">
        <w:rPr>
          <w:lang w:val="sr-Cyrl-RS"/>
        </w:rPr>
        <w:t>da</w:t>
      </w:r>
      <w:r>
        <w:rPr>
          <w:lang w:val="sr-Cyrl-RS"/>
        </w:rPr>
        <w:t xml:space="preserve"> </w:t>
      </w:r>
      <w:r w:rsidR="00C203B6">
        <w:rPr>
          <w:lang w:val="sr-Cyrl-RS"/>
        </w:rPr>
        <w:t>se</w:t>
      </w:r>
      <w:r>
        <w:rPr>
          <w:lang w:val="sr-Cyrl-RS"/>
        </w:rPr>
        <w:t xml:space="preserve"> </w:t>
      </w:r>
      <w:r w:rsidR="00C203B6">
        <w:rPr>
          <w:lang w:val="sr-Cyrl-RS"/>
        </w:rPr>
        <w:t>dnevni</w:t>
      </w:r>
      <w:r>
        <w:rPr>
          <w:lang w:val="sr-Cyrl-RS"/>
        </w:rPr>
        <w:t xml:space="preserve"> </w:t>
      </w:r>
      <w:r w:rsidR="00C203B6">
        <w:rPr>
          <w:lang w:val="sr-Cyrl-RS"/>
        </w:rPr>
        <w:t>red</w:t>
      </w:r>
      <w:r>
        <w:rPr>
          <w:lang w:val="sr-Cyrl-RS"/>
        </w:rPr>
        <w:t xml:space="preserve"> </w:t>
      </w:r>
      <w:r w:rsidR="00C203B6">
        <w:rPr>
          <w:lang w:val="sr-Cyrl-RS"/>
        </w:rPr>
        <w:t>dopuni</w:t>
      </w:r>
      <w:r>
        <w:rPr>
          <w:lang w:val="sr-Cyrl-RS"/>
        </w:rPr>
        <w:t xml:space="preserve"> </w:t>
      </w:r>
      <w:r w:rsidR="00C203B6">
        <w:rPr>
          <w:lang w:val="sr-Cyrl-RS"/>
        </w:rPr>
        <w:t>tačkom</w:t>
      </w:r>
      <w:r>
        <w:rPr>
          <w:lang w:val="sr-Cyrl-RS"/>
        </w:rPr>
        <w:t>: „</w:t>
      </w:r>
      <w:r w:rsidR="00C203B6">
        <w:rPr>
          <w:lang w:val="sr-Cyrl-RS"/>
        </w:rPr>
        <w:t>Aktuelna</w:t>
      </w:r>
      <w:r>
        <w:rPr>
          <w:lang w:val="sr-Cyrl-RS"/>
        </w:rPr>
        <w:t xml:space="preserve"> </w:t>
      </w:r>
      <w:r w:rsidR="00C203B6">
        <w:rPr>
          <w:lang w:val="sr-Cyrl-RS"/>
        </w:rPr>
        <w:t>situacija</w:t>
      </w:r>
      <w:r>
        <w:rPr>
          <w:lang w:val="sr-Cyrl-RS"/>
        </w:rPr>
        <w:t xml:space="preserve"> </w:t>
      </w:r>
      <w:r w:rsidR="00C203B6">
        <w:rPr>
          <w:lang w:val="sr-Cyrl-RS"/>
        </w:rPr>
        <w:t>u</w:t>
      </w:r>
      <w:r>
        <w:rPr>
          <w:lang w:val="sr-Cyrl-RS"/>
        </w:rPr>
        <w:t xml:space="preserve"> </w:t>
      </w:r>
      <w:r w:rsidR="00C203B6">
        <w:rPr>
          <w:lang w:val="sr-Cyrl-RS"/>
        </w:rPr>
        <w:t>energetskom</w:t>
      </w:r>
      <w:r>
        <w:rPr>
          <w:lang w:val="sr-Cyrl-RS"/>
        </w:rPr>
        <w:t xml:space="preserve"> </w:t>
      </w:r>
      <w:r w:rsidR="00C203B6">
        <w:rPr>
          <w:lang w:val="sr-Cyrl-RS"/>
        </w:rPr>
        <w:t>sektoru</w:t>
      </w:r>
      <w:r w:rsidR="005D4512">
        <w:rPr>
          <w:lang w:val="sr-Cyrl-RS"/>
        </w:rPr>
        <w:t xml:space="preserve">, </w:t>
      </w:r>
      <w:r w:rsidR="00C203B6">
        <w:rPr>
          <w:lang w:val="sr-Cyrl-RS"/>
        </w:rPr>
        <w:t>sa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posebnim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osvrtom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na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Rudarski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basen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Kolubara</w:t>
      </w:r>
      <w:r w:rsidR="005D4512">
        <w:rPr>
          <w:lang w:val="sr-Cyrl-RS"/>
        </w:rPr>
        <w:t xml:space="preserve">“. </w:t>
      </w:r>
      <w:r w:rsidR="00C203B6">
        <w:rPr>
          <w:lang w:val="sr-Cyrl-RS"/>
        </w:rPr>
        <w:t>Predsednik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je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upoznao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sa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odredbama</w:t>
      </w:r>
      <w:r w:rsidR="005D4512">
        <w:rPr>
          <w:lang w:val="sr-Cyrl-RS"/>
        </w:rPr>
        <w:t xml:space="preserve"> </w:t>
      </w:r>
      <w:r w:rsidR="00C203B6">
        <w:rPr>
          <w:lang w:val="sr-Cyrl-RS"/>
        </w:rPr>
        <w:t>člana</w:t>
      </w:r>
      <w:r w:rsidR="005D4512">
        <w:rPr>
          <w:lang w:val="sr-Cyrl-RS"/>
        </w:rPr>
        <w:t xml:space="preserve"> 92. </w:t>
      </w:r>
      <w:r w:rsidR="00C203B6">
        <w:rPr>
          <w:lang w:val="sr-Cyrl-RS"/>
        </w:rPr>
        <w:t>stav</w:t>
      </w:r>
      <w:r w:rsidR="00DD3369">
        <w:rPr>
          <w:lang w:val="sr-Cyrl-RS"/>
        </w:rPr>
        <w:t xml:space="preserve"> 4. </w:t>
      </w:r>
      <w:r w:rsidR="00C203B6">
        <w:rPr>
          <w:lang w:val="sr-Cyrl-RS"/>
        </w:rPr>
        <w:t>Poslovnika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koje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se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odnose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na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sednicu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Narodne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skupštine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i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shodno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primenjuju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na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rad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na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sednici</w:t>
      </w:r>
      <w:r w:rsidR="00FB27A5">
        <w:rPr>
          <w:lang w:val="sr-Cyrl-RS"/>
        </w:rPr>
        <w:t xml:space="preserve"> </w:t>
      </w:r>
      <w:r w:rsidR="00C203B6">
        <w:rPr>
          <w:lang w:val="sr-Cyrl-RS"/>
        </w:rPr>
        <w:t>odbora</w:t>
      </w:r>
      <w:r w:rsidR="00FB27A5">
        <w:rPr>
          <w:lang w:val="sr-Cyrl-RS"/>
        </w:rPr>
        <w:t>.</w:t>
      </w:r>
      <w:r w:rsidR="00DD3369">
        <w:rPr>
          <w:lang w:val="sr-Cyrl-RS"/>
        </w:rPr>
        <w:t xml:space="preserve"> </w:t>
      </w:r>
      <w:r w:rsidR="00C203B6">
        <w:rPr>
          <w:lang w:val="sr-Cyrl-RS"/>
        </w:rPr>
        <w:t>P</w:t>
      </w:r>
      <w:r w:rsidR="00C203B6">
        <w:rPr>
          <w:spacing w:val="-4"/>
          <w:lang w:val="ru-RU"/>
        </w:rPr>
        <w:t>redlozi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za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dopunu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dnevnog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reda</w:t>
      </w:r>
      <w:r w:rsidR="00FB27A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se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dostavljaju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predsedniku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Narodne</w:t>
      </w:r>
      <w:r w:rsidR="00DD3369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skupštine</w:t>
      </w:r>
      <w:r w:rsidR="00DD3369">
        <w:rPr>
          <w:spacing w:val="-4"/>
          <w:lang w:val="ru-RU"/>
        </w:rPr>
        <w:t xml:space="preserve"> (</w:t>
      </w:r>
      <w:r w:rsidR="00C203B6">
        <w:rPr>
          <w:spacing w:val="-4"/>
          <w:lang w:val="ru-RU"/>
        </w:rPr>
        <w:t>Odbora</w:t>
      </w:r>
      <w:r w:rsidR="00DD3369">
        <w:rPr>
          <w:spacing w:val="-4"/>
          <w:lang w:val="ru-RU"/>
        </w:rPr>
        <w:t>)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u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pisanom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obliku</w:t>
      </w:r>
      <w:r w:rsidR="00DD3369" w:rsidRPr="00DE0F46">
        <w:rPr>
          <w:spacing w:val="-4"/>
          <w:lang w:val="ru-RU"/>
        </w:rPr>
        <w:t xml:space="preserve">, </w:t>
      </w:r>
      <w:r w:rsidR="00C203B6">
        <w:rPr>
          <w:spacing w:val="-4"/>
          <w:lang w:val="ru-RU"/>
        </w:rPr>
        <w:t>najkasnije</w:t>
      </w:r>
      <w:r w:rsidR="00DD3369" w:rsidRPr="00DE0F46">
        <w:rPr>
          <w:spacing w:val="-4"/>
          <w:lang w:val="ru-RU"/>
        </w:rPr>
        <w:t xml:space="preserve"> 24 </w:t>
      </w:r>
      <w:r w:rsidR="00C203B6">
        <w:rPr>
          <w:spacing w:val="-4"/>
          <w:lang w:val="ru-RU"/>
        </w:rPr>
        <w:t>časa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pre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časa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određenog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za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početak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sednice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Narodne</w:t>
      </w:r>
      <w:r w:rsidR="00DD3369" w:rsidRPr="00DE0F46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skupštine</w:t>
      </w:r>
      <w:r w:rsidR="00DD3369">
        <w:rPr>
          <w:spacing w:val="-4"/>
          <w:lang w:val="ru-RU"/>
        </w:rPr>
        <w:t xml:space="preserve"> (</w:t>
      </w:r>
      <w:r w:rsidR="00C203B6">
        <w:rPr>
          <w:spacing w:val="-4"/>
          <w:lang w:val="ru-RU"/>
        </w:rPr>
        <w:t>Odbora</w:t>
      </w:r>
      <w:r w:rsidR="00DD3369">
        <w:rPr>
          <w:spacing w:val="-4"/>
          <w:lang w:val="ru-RU"/>
        </w:rPr>
        <w:t>)</w:t>
      </w:r>
      <w:r w:rsidR="00DD3369" w:rsidRPr="00DE0F46">
        <w:rPr>
          <w:spacing w:val="-4"/>
          <w:lang w:val="ru-RU"/>
        </w:rPr>
        <w:t>.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Iako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je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izražena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volja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predsednika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se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Odbor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izjasni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predlogu</w:t>
      </w:r>
      <w:r w:rsidR="009B379D">
        <w:rPr>
          <w:spacing w:val="-4"/>
          <w:lang w:val="ru-RU"/>
        </w:rPr>
        <w:t xml:space="preserve">, </w:t>
      </w:r>
      <w:r w:rsidR="00C203B6">
        <w:rPr>
          <w:spacing w:val="-4"/>
          <w:lang w:val="ru-RU"/>
        </w:rPr>
        <w:t>skrenuta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je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pažnja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da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odbori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ne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lastRenderedPageBreak/>
        <w:t>raspravljaju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aktima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koji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nisu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u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proceduri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Narodne</w:t>
      </w:r>
      <w:r w:rsidR="009B379D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skupštine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i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izneto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mišljenje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podnosilac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predloga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za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dopunu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dnevnog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reda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može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da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pripremi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odgovarajući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akt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koji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bi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Odbor</w:t>
      </w:r>
      <w:r w:rsidR="001A3FF5">
        <w:rPr>
          <w:spacing w:val="-4"/>
          <w:lang w:val="ru-RU"/>
        </w:rPr>
        <w:t xml:space="preserve"> </w:t>
      </w:r>
      <w:r w:rsidR="00C203B6">
        <w:rPr>
          <w:spacing w:val="-4"/>
          <w:lang w:val="ru-RU"/>
        </w:rPr>
        <w:t>razmotrio</w:t>
      </w:r>
      <w:r w:rsidR="001A3FF5">
        <w:rPr>
          <w:spacing w:val="-4"/>
          <w:lang w:val="ru-RU"/>
        </w:rPr>
        <w:t>.</w:t>
      </w:r>
      <w:r>
        <w:rPr>
          <w:lang w:val="sr-Cyrl-RS"/>
        </w:rPr>
        <w:t xml:space="preserve"> </w:t>
      </w:r>
    </w:p>
    <w:p w:rsidR="001C5F4D" w:rsidRPr="004A2428" w:rsidRDefault="001C5F4D" w:rsidP="00181893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24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A3F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1A3F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0EE4">
        <w:rPr>
          <w:rFonts w:ascii="Times New Roman" w:eastAsia="Times New Roman" w:hAnsi="Times New Roman" w:cs="Times New Roman"/>
          <w:sz w:val="24"/>
          <w:szCs w:val="24"/>
          <w:lang w:val="sr-Cyrl-RS"/>
        </w:rPr>
        <w:t>(9 „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70EE4">
        <w:rPr>
          <w:rFonts w:ascii="Times New Roman" w:eastAsia="Times New Roman" w:hAnsi="Times New Roman" w:cs="Times New Roman"/>
          <w:sz w:val="24"/>
          <w:szCs w:val="24"/>
          <w:lang w:val="sr-Cyrl-RS"/>
        </w:rPr>
        <w:t>“, 4 „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970E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“)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4A24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78204D" w:rsidRPr="00DB11F4" w:rsidRDefault="00970EE4" w:rsidP="00782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78204D" w:rsidRPr="00DB11F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C5F4D" w:rsidRPr="004A2428" w:rsidRDefault="001C5F4D" w:rsidP="001C5F4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2E0E" w:rsidRPr="005C2E0E" w:rsidRDefault="00C203B6" w:rsidP="005C2E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21 –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28 –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2E0E" w:rsidRPr="005C2E0E">
        <w:rPr>
          <w:rFonts w:ascii="Times New Roman" w:hAnsi="Times New Roman" w:cs="Times New Roman"/>
          <w:sz w:val="24"/>
          <w:szCs w:val="24"/>
        </w:rPr>
        <w:t xml:space="preserve">32 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2E0E" w:rsidRPr="005C2E0E">
        <w:rPr>
          <w:rFonts w:ascii="Times New Roman" w:hAnsi="Times New Roman" w:cs="Times New Roman"/>
          <w:sz w:val="24"/>
          <w:szCs w:val="24"/>
        </w:rPr>
        <w:t>62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C2E0E"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5C2E0E"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400-2335/22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r w:rsidR="005C2E0E"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novembra</w:t>
      </w:r>
      <w:r w:rsidR="005C2E0E"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 w:rsidR="005C2E0E"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="005C2E0E" w:rsidRPr="005C2E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C2E0E" w:rsidRPr="005C2E0E" w:rsidRDefault="005C2E0E" w:rsidP="005C2E0E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02-797/22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5C2E0E" w:rsidRPr="005C2E0E" w:rsidRDefault="005C2E0E" w:rsidP="005C2E0E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02-376/22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</w:p>
    <w:p w:rsidR="005C2E0E" w:rsidRPr="00E93F00" w:rsidRDefault="005C2E0E" w:rsidP="005C2E0E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Beču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Austrija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114-2073/22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5C2E0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C2E0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3F00" w:rsidRDefault="00E93F00" w:rsidP="00E93F00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</w:p>
    <w:p w:rsidR="00915082" w:rsidRDefault="003A632A" w:rsidP="00E93F00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prelaska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prema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utvrđenom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dnevnom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redu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izneta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primedba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dostavljenom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zapisniku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Prvoj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nisu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navedena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imena</w:t>
      </w:r>
      <w:r w:rsidR="00E93F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podnosioca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tema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raspravu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narednim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sednicama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zbog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složene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situacije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svetu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energetskom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sektoru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bude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stalnom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zasedanju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raspravi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izneto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svrsishodno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voditi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rasprave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konstitutivne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potrebno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efikasno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nastavi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prema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utvrđenom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dnevnom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redu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okviru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Izneto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tekst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skladu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Poslovnikom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praksom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Narodnoj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Imena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diskutanata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odluke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donete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navedeni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Narodnoj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tonski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snimaju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vode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stenografske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beleške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obrade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tonskog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snimka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potrebi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kojima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sadržana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sva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imena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D13E9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sve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diskusije</w:t>
      </w:r>
      <w:r w:rsidR="00D6766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  <w:r w:rsidR="00597B9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podsetio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prva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konstitutivna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sednici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bira</w:t>
      </w:r>
      <w:r w:rsidR="00EF069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zamenika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BB413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BB413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</w:t>
      </w:r>
      <w:r w:rsidR="00BB413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delegirane</w:t>
      </w:r>
      <w:r w:rsidR="00BB413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teme</w:t>
      </w:r>
      <w:r w:rsidR="00BB413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navedene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zapisniku</w:t>
      </w:r>
      <w:r w:rsidR="0024487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Izneta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primedba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članovi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nisu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dobili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materijale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vezani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tačke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dnevnog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obavestio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dostavila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materijale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poslaničkih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grupa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5082" w:rsidRPr="00915082" w:rsidRDefault="00915082" w:rsidP="00E93F00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</w:rPr>
        <w:tab/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mr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Radenković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Zečević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Veroljub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Arsić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Snežana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Paunović</w:t>
      </w:r>
      <w:r w:rsidR="00201E9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Nebojša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Zelenović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3F00" w:rsidRPr="005C2E0E" w:rsidRDefault="00915082" w:rsidP="00E93F00">
      <w:pPr>
        <w:widowControl w:val="0"/>
        <w:tabs>
          <w:tab w:val="left" w:pos="0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  <w:r>
        <w:rPr>
          <w:rStyle w:val="colornavy"/>
          <w:rFonts w:ascii="Times New Roman" w:hAnsi="Times New Roman" w:cs="Times New Roman"/>
          <w:sz w:val="24"/>
          <w:szCs w:val="24"/>
        </w:rPr>
        <w:tab/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Nakon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toga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većinom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="003A632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(15 „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7820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“)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usvojio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Prve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sednice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D7575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5F4D" w:rsidRPr="004A2428" w:rsidRDefault="001C5F4D" w:rsidP="001C5F4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24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nastavio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utvrđenom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Pr="004A242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5F4D" w:rsidRPr="004A2428" w:rsidRDefault="001C5F4D" w:rsidP="001C5F4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16F1" w:rsidRDefault="00C203B6" w:rsidP="00DA16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DA1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DA1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DA1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DA16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16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</w:t>
      </w:r>
      <w:r w:rsidR="00DA16F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tranje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izmenama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dopunama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budžetu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Razdeo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21-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privrede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Razdeo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28-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rudarstva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energetike</w:t>
      </w:r>
      <w:r w:rsidR="00DA16F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Razdeo</w:t>
      </w:r>
      <w:r w:rsidR="00DA16F1">
        <w:rPr>
          <w:rFonts w:ascii="Times New Roman" w:hAnsi="Times New Roman" w:cs="Times New Roman"/>
          <w:b/>
          <w:sz w:val="24"/>
          <w:szCs w:val="24"/>
        </w:rPr>
        <w:t xml:space="preserve"> 32-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unutrašnje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spoljne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trgovine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Razdeo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62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Ministarstvo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turizma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omladine</w:t>
      </w:r>
      <w:r w:rsidR="00DA16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istak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budžet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2022.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godinu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planiran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okolnostima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postepenog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izlaska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zdravstveno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ekonomske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krize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izazvana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pandemijom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korona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virusa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Korekcija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prihoda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rashoda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budžetu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2022.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godinu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bila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neophodna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zbog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događaja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ovoj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godini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nisu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mogli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predvideti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uticali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cene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energenata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opšti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nivo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cena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lastRenderedPageBreak/>
        <w:tab/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Milan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Macura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pomoćnik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ministra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energetike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istakao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zbog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rešavanja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problema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sektoru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ekonomske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krize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globalnom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nivou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budžet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Ministarstva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energetike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planiran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iznosu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19,2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milijarde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rebalansom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povećava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40,8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Najveće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izmene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odnose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uvećanje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formiranje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obaveznih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rezervi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nafte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naftnih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derivata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prirodnog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gasa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namene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tekuće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budžetske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rezerve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tokom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godine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izdvojeno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dodatnih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12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Rebalansom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budžeta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obezbeđene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subvencije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Rudarski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basen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«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»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iznosu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10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nabavku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mehanizacije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tačnije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ključne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investicije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doprineti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unapređenju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proi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vodnje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basenu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«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»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kopovima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«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Kostolac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».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Takođe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planirane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subvencije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toplovod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Obrenovac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-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Novi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Beograd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izgradnju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gasnog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interkonekt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a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Niš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–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Dimitrovgrad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subvencije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ugrožene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kupce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električne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toplotne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energije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astavlja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nacionalni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program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efikasnosti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domaćinstava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povećanje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skladišnih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kapaciteta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derivata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nafte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Smederevu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okviru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Razdela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28. -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Ministarstva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rudarstva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energetike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postoje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još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glave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: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Uprava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rezerve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energenata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bavi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nabavkom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obezbeđivanjem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dodatnih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količina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energenata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Uprava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podsticanje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finansiranje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energetske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efikasnosti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postavili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dali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sugestije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pacing w:val="-4"/>
          <w:sz w:val="24"/>
          <w:szCs w:val="24"/>
          <w:lang w:val="ru-RU"/>
        </w:rPr>
        <w:t>koliki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trenutno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javni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dug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Republike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ru-RU"/>
        </w:rPr>
        <w:t>Srbije</w:t>
      </w:r>
      <w:r w:rsidR="00DA16F1">
        <w:rPr>
          <w:rFonts w:eastAsia="Times New Roman" w:cs="Times New Roman"/>
          <w:spacing w:val="-4"/>
          <w:sz w:val="24"/>
          <w:szCs w:val="24"/>
          <w:lang w:val="ru-RU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suficit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budžetu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kojim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stavkama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deficit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kojim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stavkama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država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planirala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sredstva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preduzeća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iz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sfere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elektro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privrede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veoma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teškom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položaju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treba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obrazovati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pododbor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bi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ispitao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situaciju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Termoelektrani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Nikola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Tesla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Rudarskom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basenu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„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Kolubara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“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predložio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rešenja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nabavlja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nova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mehanizacija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RB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„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Kolubara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“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kada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postojeća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ispod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30 </w:t>
      </w:r>
      <w:r>
        <w:rPr>
          <w:rFonts w:eastAsia="Times New Roman" w:cs="Times New Roman"/>
          <w:sz w:val="24"/>
          <w:szCs w:val="24"/>
          <w:lang w:val="sr-Cyrl-RS"/>
        </w:rPr>
        <w:t>procenata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iskorišćenosti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ukoliko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budemo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imali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dovoljno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sredstava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vratimo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dug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Međunarodnom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monetarnom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fondu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ćemo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doći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situaciju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znatno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povećamo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cenu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struje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ćemo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morati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prodamo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elektroprivredni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sistem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stranim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kompanijama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zatraženo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objašnjenje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planirana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zaduženja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emitovanje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državnih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hartija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od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vrednosti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predviđeni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članu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2. </w:t>
      </w:r>
      <w:r>
        <w:rPr>
          <w:rFonts w:eastAsia="Times New Roman" w:cs="Times New Roman"/>
          <w:sz w:val="24"/>
          <w:szCs w:val="24"/>
          <w:lang w:val="sr-Cyrl-RS"/>
        </w:rPr>
        <w:t>Predloga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zakona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izmenama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dopunama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Zakona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budžetu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: </w:t>
      </w:r>
      <w:r>
        <w:rPr>
          <w:rFonts w:eastAsia="Times New Roman" w:cs="Times New Roman"/>
          <w:sz w:val="24"/>
          <w:szCs w:val="24"/>
          <w:lang w:val="sr-Cyrl-RS"/>
        </w:rPr>
        <w:t>za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namene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planirano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zaduženje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će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kupi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te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obveznice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kome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ih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nudimo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po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kojoj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ceni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šta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uslovi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zadužujemo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kod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nas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najskuplji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dizel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Evropi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ili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regionu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pacing w:val="-4"/>
          <w:sz w:val="24"/>
          <w:szCs w:val="24"/>
          <w:lang w:val="sr-Cyrl-RS"/>
        </w:rPr>
        <w:t>kolika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međunarodnom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tržištu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cena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nafte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;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cena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bila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januaru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ove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godine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oktobru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kakva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situacija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otkopom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otkrivke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RB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Kolubara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kakva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situacija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proizvodnjom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uglja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; </w:t>
      </w: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uvozimo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ugalj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ne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koristimo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ugalj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iz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Kolubare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koliko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koštao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uvoz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uglja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ove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prošle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pretprošle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godine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 </w:t>
      </w:r>
      <w:r>
        <w:rPr>
          <w:rFonts w:eastAsia="Times New Roman" w:cs="Times New Roman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po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kojoj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ceni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z w:val="24"/>
          <w:szCs w:val="24"/>
          <w:lang w:val="sr-Cyrl-RS"/>
        </w:rPr>
        <w:t>zašto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sednica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Odbora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sazvana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roku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kraćem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od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sedam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dana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z w:val="24"/>
          <w:szCs w:val="24"/>
          <w:lang w:val="sr-Cyrl-RS"/>
        </w:rPr>
        <w:t>bez</w:t>
      </w:r>
      <w:r w:rsidR="00DA16F1">
        <w:rPr>
          <w:rFonts w:eastAsia="Times New Roman" w:cs="Times New Roman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z w:val="24"/>
          <w:szCs w:val="24"/>
          <w:lang w:val="sr-Cyrl-RS"/>
        </w:rPr>
        <w:t>obrazloženja</w:t>
      </w:r>
      <w:r w:rsidR="00DA16F1">
        <w:rPr>
          <w:rFonts w:eastAsia="Times New Roman" w:cs="Times New Roman"/>
          <w:sz w:val="24"/>
          <w:szCs w:val="24"/>
          <w:lang w:val="sr-Cyrl-RS"/>
        </w:rPr>
        <w:t>;</w:t>
      </w:r>
    </w:p>
    <w:p w:rsidR="00DA16F1" w:rsidRDefault="00C203B6" w:rsidP="00DA16F1">
      <w:pPr>
        <w:pStyle w:val="ListParagraph"/>
        <w:numPr>
          <w:ilvl w:val="0"/>
          <w:numId w:val="4"/>
        </w:numPr>
        <w:tabs>
          <w:tab w:val="left" w:pos="1418"/>
        </w:tabs>
        <w:rPr>
          <w:rFonts w:eastAsia="Times New Roman" w:cs="Times New Roman"/>
          <w:sz w:val="24"/>
          <w:szCs w:val="24"/>
          <w:lang w:val="sr-Cyrl-RS"/>
        </w:rPr>
      </w:pPr>
      <w:r>
        <w:rPr>
          <w:rFonts w:eastAsia="Times New Roman" w:cs="Times New Roman"/>
          <w:spacing w:val="-4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li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vršena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procena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će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biti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troškovi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eksploatacije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toplovoda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Obrenovac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-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Novi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Beograd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odnosno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kolika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će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biti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realna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ekonomska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cena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,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bez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subvencija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iz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budžeta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da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li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je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urađena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 w:rsidR="00DA16F1">
        <w:rPr>
          <w:rFonts w:eastAsia="Times New Roman" w:cs="Times New Roman"/>
          <w:spacing w:val="-4"/>
          <w:sz w:val="24"/>
          <w:szCs w:val="24"/>
          <w:lang w:val="sr-Latn-RS"/>
        </w:rPr>
        <w:t>cash flow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 xml:space="preserve"> </w:t>
      </w:r>
      <w:r>
        <w:rPr>
          <w:rFonts w:eastAsia="Times New Roman" w:cs="Times New Roman"/>
          <w:spacing w:val="-4"/>
          <w:sz w:val="24"/>
          <w:szCs w:val="24"/>
          <w:lang w:val="sr-Cyrl-RS"/>
        </w:rPr>
        <w:t>analiza</w:t>
      </w:r>
      <w:r w:rsidR="00DA16F1">
        <w:rPr>
          <w:rFonts w:eastAsia="Times New Roman" w:cs="Times New Roman"/>
          <w:spacing w:val="-4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kratak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pripremu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Materijal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obiman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glasati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izmene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razdelima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delokrugu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kratko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dbora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materijali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imejl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adrese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saznao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usvojila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2022.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dopunu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sazvane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održavala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nedeljom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slučaju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nekih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odredbu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72.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kojoj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saziv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sednicu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dostavlja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najmanje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održavanja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dostupan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elektronskom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formatu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štampanom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formatu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"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dobavljačima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mnoge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firme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ivici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likvidnosti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izdvajanja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elektro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oko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12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nabavku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rudarske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mehanizacije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izdvojeno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10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Predloženo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projekat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izgradnje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toplovoda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Obrenovac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-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Novi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Beograd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projekat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sebi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sadrži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stavku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sufinansiranje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doći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situaciju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trenutku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servisiraju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dugovi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Primećeno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RB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izdvoji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10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obnovu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mehanizacije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problemi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kopovima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posledica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nestručnog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menadžmenta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iskorišćena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sredstva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nove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otkrivke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(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dobila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otkloni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3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3,5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Latn-RS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sr-Latn-RS"/>
        </w:rPr>
        <w:t>3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jalovine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Latn-RS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obzirom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rađeno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vreme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,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došla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situaciju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eksploatiše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vrlo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vrednošću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svih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kopova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trakama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dolazi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jedno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mesto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stanica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opremljena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instrumentima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kojima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procenjuje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vrednost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svakog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kopa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potrebe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rada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termoelektrana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koristi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određenom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vrednošću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tako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meša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nižom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vrednošću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ugljem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višom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vrednošću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dobija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potrebna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vrednost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loženje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peći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termoelektrani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Negde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navedeno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termoelektranu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šalje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blato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tačno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šalje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kalorijskom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vrednošću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Potencijal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kopova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postojećom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mehanizacijom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proizvede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godišnje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28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30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Proizvodnja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kraja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2022.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iznositi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oko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22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bolje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unaprede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uslovi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novim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otkrivkama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korišćenje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postojeće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mehanizacije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dođe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kvalitetnijeg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umesto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izdvaja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deset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obnovu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mehanizacije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Kolubarski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učestvuje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između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60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%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proizvodnji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električne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energije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postojećom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opremom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postigne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113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hiljada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dnevnom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nivou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postigne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28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30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tona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godišnjem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nivou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Postoje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inženjeri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spremni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reše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6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9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meseci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uslovom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radi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struka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politika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taj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način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bismo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došli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situaciju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Republika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ponovo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izvoznik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struje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uvoznik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nadležni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organi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utvrde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odgovoran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stanje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Elektroprivreda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RB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Važno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uloži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10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preduzeće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nalazi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teškoj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situaciji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imati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vidu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Republika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zadužila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2,4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milijarde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Međunarodnog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monetarnog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fonda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jedan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uslova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vraćanje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duga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transformacija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JP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"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Elektroprivreda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" 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akcionarsko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društvo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troškova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nedavno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korisnike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korisnicima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samim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aproprijacije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pripadale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podsećanje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potopljen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tvrdi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inženjeri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kratkom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osposobili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počne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znaju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uvažaju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otkrivka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baš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poplave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tačan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„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Kolubara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Zaboravljaju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Kostolac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Đerdap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kolika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instalisana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snaga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elektranama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"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kolika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ukupna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aplikacija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realnom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vremenu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termokapaciteta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hidrokapaciteta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vetroparkovi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solarne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farme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privatizovati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pogotovo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vremenima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prodavaće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struju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uvažiti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rudare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inženjere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danas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velik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izvoznik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struje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analizira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Kolubare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usmerena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rudara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dobijenim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inženjera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menadžment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osposobi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Kolubaru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počne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punim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devet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Zatražena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objašnjenja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namene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zaduženja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planiranih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900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zadužujemo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emitovanje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evroobveznica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namene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zaduženje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kupi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obveznice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nudimo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ceni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zadužujemo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nejasno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gorivo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najskuplje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gorivo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Hrvatskoj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kupuju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naftu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desile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eophodno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uraditi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penzioneri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primali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penzije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primali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mogli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energente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platimo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vidimo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dobavljačima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platila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kovid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postkovid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isplate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segmentima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izvršen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razdele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izdvojeno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17,5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iznosa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12,7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adekvatno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svoja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tekuće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energente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900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rasla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1800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2500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hiljadu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kubnih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metara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struje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rasla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svetu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otvorili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klastere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morali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smanjimo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pritisaka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potpuno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zatvore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kopovi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uopšte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grejemo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ugalj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sigurno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zaustavilo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otkopavanje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otkrivke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zelene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zalažu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normalno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podrže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svaki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otvorenu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disusije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ostaviti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debate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ulazi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projektovani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premašiti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60 %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bruto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avgustu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mesecu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iznosio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53,4 %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BDP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BDP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premašio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cifru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gasnog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interkonektora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diversifikovalo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snabdevanje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gasom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bitan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energent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Bitno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održimo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točak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primanja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upravo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rebalansom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obustavljaju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Moravski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koridor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digitalni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auto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put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Kruševca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Čačka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ostalim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slivu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Zapadne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Morave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doneti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planova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regulacije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otvaranje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industrijskih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dolazak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znače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stand by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aranžman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MMF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pozajmljivanje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aranžman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predostrožnosti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likvidnim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Rebalansom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namenjenih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mladima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724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724F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 w:rsidR="00724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724F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Zelenović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A16F1" w:rsidRDefault="00DA16F1" w:rsidP="00DA16F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A16F1" w:rsidRDefault="00DA16F1" w:rsidP="00DA16F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173.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„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“)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C1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EC1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C1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C1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1C1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EC1C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32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62-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omladine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Pr="00E35C7F" w:rsidRDefault="00DA16F1" w:rsidP="00E35C7F">
      <w:pPr>
        <w:pStyle w:val="Bodytext40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761B0E">
        <w:rPr>
          <w:sz w:val="24"/>
          <w:szCs w:val="24"/>
        </w:rPr>
        <w:tab/>
      </w:r>
      <w:r w:rsidR="00C203B6">
        <w:rPr>
          <w:b w:val="0"/>
          <w:sz w:val="24"/>
          <w:szCs w:val="24"/>
          <w:lang w:val="sr-Cyrl-RS"/>
        </w:rPr>
        <w:t>Za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izvestioca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Odbora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na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sednici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Odbora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za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finansije</w:t>
      </w:r>
      <w:r w:rsidRPr="00E35C7F">
        <w:rPr>
          <w:b w:val="0"/>
          <w:sz w:val="24"/>
          <w:szCs w:val="24"/>
          <w:lang w:val="sr-Cyrl-RS"/>
        </w:rPr>
        <w:t xml:space="preserve">, </w:t>
      </w:r>
      <w:r w:rsidR="00C203B6">
        <w:rPr>
          <w:b w:val="0"/>
          <w:sz w:val="24"/>
          <w:szCs w:val="24"/>
          <w:lang w:val="sr-Cyrl-RS"/>
        </w:rPr>
        <w:t>republički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budžet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i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kontrolu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trošenja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javnih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sredstava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određen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je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predsednik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Odbora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mr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Dejan</w:t>
      </w:r>
      <w:r w:rsidRPr="00E35C7F">
        <w:rPr>
          <w:b w:val="0"/>
          <w:sz w:val="24"/>
          <w:szCs w:val="24"/>
          <w:lang w:val="sr-Cyrl-RS"/>
        </w:rPr>
        <w:t xml:space="preserve"> </w:t>
      </w:r>
      <w:r w:rsidR="00C203B6">
        <w:rPr>
          <w:b w:val="0"/>
          <w:sz w:val="24"/>
          <w:szCs w:val="24"/>
          <w:lang w:val="sr-Cyrl-RS"/>
        </w:rPr>
        <w:t>Radenković</w:t>
      </w:r>
      <w:r w:rsidR="00E35C7F">
        <w:rPr>
          <w:b w:val="0"/>
          <w:sz w:val="24"/>
          <w:szCs w:val="24"/>
        </w:rPr>
        <w:t>.</w:t>
      </w:r>
      <w:r w:rsidRPr="00E35C7F">
        <w:rPr>
          <w:b w:val="0"/>
          <w:sz w:val="24"/>
          <w:szCs w:val="24"/>
          <w:lang w:val="sr-Cyrl-RS"/>
        </w:rPr>
        <w:t xml:space="preserve"> </w:t>
      </w:r>
    </w:p>
    <w:p w:rsidR="00E35C7F" w:rsidRDefault="00E35C7F" w:rsidP="00E35C7F">
      <w:pPr>
        <w:pStyle w:val="Bodytext40"/>
        <w:shd w:val="clear" w:color="auto" w:fill="auto"/>
        <w:spacing w:before="0" w:line="240" w:lineRule="auto"/>
        <w:rPr>
          <w:sz w:val="24"/>
          <w:szCs w:val="24"/>
        </w:rPr>
      </w:pPr>
    </w:p>
    <w:p w:rsidR="00E35C7F" w:rsidRDefault="00E35C7F" w:rsidP="00E35C7F">
      <w:pPr>
        <w:pStyle w:val="Bodytext40"/>
        <w:shd w:val="clear" w:color="auto" w:fill="auto"/>
        <w:spacing w:before="0" w:line="240" w:lineRule="auto"/>
        <w:rPr>
          <w:sz w:val="24"/>
          <w:szCs w:val="24"/>
        </w:rPr>
      </w:pPr>
    </w:p>
    <w:p w:rsidR="00E35C7F" w:rsidRDefault="00C203B6" w:rsidP="00E35C7F">
      <w:pPr>
        <w:pStyle w:val="Bodytext40"/>
        <w:shd w:val="clear" w:color="auto" w:fill="auto"/>
        <w:spacing w:before="0" w:line="240" w:lineRule="auto"/>
        <w:jc w:val="both"/>
        <w:rPr>
          <w:color w:val="000000"/>
          <w:sz w:val="24"/>
          <w:szCs w:val="24"/>
          <w:lang w:val="sr-Cyrl-RS"/>
        </w:rPr>
      </w:pPr>
      <w:proofErr w:type="gramStart"/>
      <w:r>
        <w:rPr>
          <w:rStyle w:val="Bodytext4NotBold"/>
        </w:rPr>
        <w:t>Druga</w:t>
      </w:r>
      <w:r w:rsidR="00E35C7F">
        <w:rPr>
          <w:rStyle w:val="Bodytext4NotBold"/>
        </w:rPr>
        <w:t xml:space="preserve"> </w:t>
      </w:r>
      <w:r>
        <w:rPr>
          <w:rStyle w:val="Bodytext4NotBold"/>
        </w:rPr>
        <w:t>tačka</w:t>
      </w:r>
      <w:r w:rsidR="00E35C7F">
        <w:rPr>
          <w:rStyle w:val="Bodytext4NotBold"/>
        </w:rPr>
        <w:t xml:space="preserve"> </w:t>
      </w:r>
      <w:r>
        <w:rPr>
          <w:rStyle w:val="Bodytext4NotBold"/>
        </w:rPr>
        <w:t>dnevnog</w:t>
      </w:r>
      <w:r w:rsidR="00E35C7F">
        <w:rPr>
          <w:rStyle w:val="Bodytext4NotBold"/>
        </w:rPr>
        <w:t xml:space="preserve"> </w:t>
      </w:r>
      <w:r>
        <w:rPr>
          <w:rStyle w:val="Bodytext4NotBold"/>
        </w:rPr>
        <w:t>reda</w:t>
      </w:r>
      <w:r w:rsidR="00E35C7F">
        <w:rPr>
          <w:rStyle w:val="Bodytext4NotBold"/>
        </w:rPr>
        <w:t xml:space="preserve"> – </w:t>
      </w:r>
      <w:r>
        <w:rPr>
          <w:rStyle w:val="Bodytext4NotBold"/>
          <w:b/>
          <w:lang w:val="sr-Cyrl-RS"/>
        </w:rPr>
        <w:t>Godišnji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izveštaj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o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radu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Agencije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za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energetiku</w:t>
      </w:r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za</w:t>
      </w:r>
      <w:r w:rsidR="00E35C7F">
        <w:rPr>
          <w:rStyle w:val="Bodytext4NotBold"/>
          <w:b/>
          <w:lang w:val="sr-Cyrl-RS"/>
        </w:rPr>
        <w:t xml:space="preserve"> 2021.</w:t>
      </w:r>
      <w:proofErr w:type="gramEnd"/>
      <w:r w:rsidR="00E35C7F">
        <w:rPr>
          <w:rStyle w:val="Bodytext4NotBold"/>
          <w:b/>
          <w:lang w:val="sr-Cyrl-RS"/>
        </w:rPr>
        <w:t xml:space="preserve"> </w:t>
      </w:r>
      <w:r>
        <w:rPr>
          <w:rStyle w:val="Bodytext4NotBold"/>
          <w:b/>
          <w:lang w:val="sr-Cyrl-RS"/>
        </w:rPr>
        <w:t>godinu</w:t>
      </w:r>
    </w:p>
    <w:p w:rsidR="00E35C7F" w:rsidRDefault="00C203B6" w:rsidP="00E35C7F">
      <w:pPr>
        <w:pStyle w:val="Bodytext20"/>
        <w:shd w:val="clear" w:color="auto" w:fill="auto"/>
        <w:spacing w:line="240" w:lineRule="auto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E35C7F">
        <w:rPr>
          <w:sz w:val="24"/>
          <w:szCs w:val="24"/>
          <w:lang w:val="sr-Cyrl-RS"/>
        </w:rPr>
        <w:t xml:space="preserve"> 39. </w:t>
      </w:r>
      <w:r>
        <w:rPr>
          <w:sz w:val="24"/>
          <w:szCs w:val="24"/>
          <w:lang w:val="sr-Cyrl-RS"/>
        </w:rPr>
        <w:t>Zakona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energetici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energetiku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podnosi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najmanje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jednom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godišnje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Agencije</w:t>
      </w:r>
      <w:r w:rsidR="00E35C7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Izveštaj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prethodnu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kalendarsku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podnosi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najkasnije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E35C7F">
        <w:rPr>
          <w:sz w:val="24"/>
          <w:szCs w:val="24"/>
          <w:lang w:val="sr-Cyrl-RS"/>
        </w:rPr>
        <w:t xml:space="preserve"> 31. </w:t>
      </w:r>
      <w:r>
        <w:rPr>
          <w:sz w:val="24"/>
          <w:szCs w:val="24"/>
          <w:lang w:val="sr-Cyrl-RS"/>
        </w:rPr>
        <w:t>maja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svake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E35C7F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Savet</w:t>
      </w:r>
      <w:r w:rsidR="00E35C7F">
        <w:rPr>
          <w:sz w:val="24"/>
          <w:szCs w:val="24"/>
          <w:lang w:val="sr-Cyrl-RS"/>
        </w:rPr>
        <w:t xml:space="preserve"> </w:t>
      </w:r>
      <w:r w:rsidR="00F138EF">
        <w:rPr>
          <w:sz w:val="24"/>
          <w:szCs w:val="24"/>
        </w:rPr>
        <w:t>A</w:t>
      </w:r>
      <w:r>
        <w:rPr>
          <w:sz w:val="24"/>
          <w:szCs w:val="24"/>
          <w:lang w:val="sr-Cyrl-RS"/>
        </w:rPr>
        <w:t>genciej</w:t>
      </w:r>
      <w:r w:rsidR="00F138E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energetiku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Repblike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Narodnoj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redovan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godišnji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E35C7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E35C7F">
        <w:rPr>
          <w:sz w:val="24"/>
          <w:szCs w:val="24"/>
          <w:lang w:val="sr-Cyrl-RS"/>
        </w:rPr>
        <w:t xml:space="preserve"> 2021. </w:t>
      </w:r>
      <w:r>
        <w:rPr>
          <w:sz w:val="24"/>
          <w:szCs w:val="24"/>
          <w:lang w:val="sr-Cyrl-RS"/>
        </w:rPr>
        <w:t>godinu</w:t>
      </w:r>
      <w:r w:rsidR="00E35C7F">
        <w:rPr>
          <w:sz w:val="24"/>
          <w:szCs w:val="24"/>
          <w:lang w:val="sr-Cyrl-RS"/>
        </w:rPr>
        <w:t xml:space="preserve">, 31.  </w:t>
      </w:r>
      <w:r>
        <w:rPr>
          <w:sz w:val="24"/>
          <w:szCs w:val="24"/>
          <w:lang w:val="sr-Cyrl-RS"/>
        </w:rPr>
        <w:t>maja</w:t>
      </w:r>
      <w:r w:rsidR="00E35C7F">
        <w:rPr>
          <w:sz w:val="24"/>
          <w:szCs w:val="24"/>
          <w:lang w:val="sr-Cyrl-RS"/>
        </w:rPr>
        <w:t xml:space="preserve"> 2022. </w:t>
      </w:r>
      <w:r>
        <w:rPr>
          <w:sz w:val="24"/>
          <w:szCs w:val="24"/>
          <w:lang w:val="sr-Cyrl-RS"/>
        </w:rPr>
        <w:t>godine</w:t>
      </w:r>
      <w:r w:rsidR="00E35C7F">
        <w:rPr>
          <w:sz w:val="24"/>
          <w:szCs w:val="24"/>
          <w:lang w:val="sr-Cyrl-RS"/>
        </w:rPr>
        <w:t>.</w:t>
      </w:r>
    </w:p>
    <w:p w:rsidR="00E35C7F" w:rsidRDefault="00E35C7F" w:rsidP="00E35C7F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C203B6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Zakonom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energetici</w:t>
      </w:r>
      <w:r w:rsidR="00F138EF">
        <w:rPr>
          <w:sz w:val="24"/>
          <w:szCs w:val="24"/>
          <w:lang w:val="sr-Cyrl-RS"/>
        </w:rPr>
        <w:t xml:space="preserve">, </w:t>
      </w:r>
      <w:r w:rsidR="00C203B6">
        <w:rPr>
          <w:sz w:val="24"/>
          <w:szCs w:val="24"/>
          <w:lang w:val="sr-Cyrl-RS"/>
        </w:rPr>
        <w:t>izveštaj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radu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sadrži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podatke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radu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prethodnoj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godini</w:t>
      </w:r>
      <w:r>
        <w:rPr>
          <w:sz w:val="24"/>
          <w:szCs w:val="24"/>
          <w:lang w:val="sr-Cyrl-RS"/>
        </w:rPr>
        <w:t xml:space="preserve">, </w:t>
      </w:r>
      <w:r w:rsidR="00C203B6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njenom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finansijskom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poslovanju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stanju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energetskom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sektoru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Srbije</w:t>
      </w:r>
      <w:r w:rsidR="00F138EF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okviru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nadležnosti</w:t>
      </w:r>
      <w:r>
        <w:rPr>
          <w:sz w:val="24"/>
          <w:szCs w:val="24"/>
          <w:lang w:val="sr-Cyrl-RS"/>
        </w:rPr>
        <w:t xml:space="preserve"> </w:t>
      </w:r>
      <w:r w:rsidR="00C203B6">
        <w:rPr>
          <w:sz w:val="24"/>
          <w:szCs w:val="24"/>
          <w:lang w:val="sr-Cyrl-RS"/>
        </w:rPr>
        <w:t>Agencije</w:t>
      </w:r>
      <w:r>
        <w:rPr>
          <w:sz w:val="24"/>
          <w:szCs w:val="24"/>
          <w:lang w:val="sr-Cyrl-RS"/>
        </w:rPr>
        <w:t xml:space="preserve">. </w:t>
      </w:r>
    </w:p>
    <w:p w:rsidR="00E35C7F" w:rsidRDefault="00E35C7F" w:rsidP="00580B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tab/>
      </w:r>
      <w: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obrazložio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odgovaraju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Dokument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2004.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Registrovana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otpočela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utvrđivane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precizirane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proširene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sretifikacije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sertifikacijom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sertifikacija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oduzimanje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energentom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instalisanu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megavata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elektromrežama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gasnim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produktovodima</w:t>
      </w:r>
      <w:r w:rsidR="00F138E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garantovanog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garantovanog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drugostepeni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povremenu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izvršne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aktuelnih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započet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okončan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rukovodi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ekonomsko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finanasijske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organizacione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samostalan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izvršne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vođenju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FD33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ovlšćenjima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FD332A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sopstvene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regulisanih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ograničeni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smeju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obimu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donirana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2006.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podleže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eksternoj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reviziji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revizora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sačinjen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revizoru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nedeljno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primila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 77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F808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striktno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stepenu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podnošenja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stepenu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podnošenja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obezbedilo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održavaju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 w:rsidR="00263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četvrtka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nepotpunih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zaprimljenih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izdavanju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61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izmenio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regulisanih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objavljene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oktobru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otkupne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fid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tarife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otkupna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novembru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otkupne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Usvojena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premije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Metodologija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fid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tarifa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kogenerativna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otkupna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vetro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iskazuje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uredbom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definiše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spremna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izdvoji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AD77F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Onaj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učesnik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ponudi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nižu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posao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aukciji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januaru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pomoćnih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elektroenergetskom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mrežarine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EMS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12%,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10%.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vođenju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knjigovodstvenih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srovođenje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delatnostima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garantovanog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Definisli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računovodstveno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razdvoje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proširene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uputstva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uputstava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sačinili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dostavili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prosledila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glavne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svodile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onlajn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žalbama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stepenu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353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251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karakter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pritužbi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potvrđenim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učestvuje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savetodavno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mogućim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izvršnim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4F0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funkciji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učestvuje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Atinskog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ECRB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infrastrukturom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grupama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PECI/PMI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projekti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dotira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projekti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definišu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projekti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donirati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zajednicu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prevashodno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12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intekonektivna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B42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</w:rPr>
        <w:t>CEER</w:t>
      </w:r>
      <w:r w:rsidR="00580B42">
        <w:rPr>
          <w:rFonts w:ascii="Times New Roman" w:hAnsi="Times New Roman" w:cs="Times New Roman"/>
          <w:sz w:val="24"/>
          <w:szCs w:val="24"/>
          <w:lang w:val="sr-Cyrl-RS"/>
        </w:rPr>
        <w:t>),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formiranju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jedinstvenog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efikasnog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Generalna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B4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80B42">
        <w:rPr>
          <w:rFonts w:ascii="Times New Roman" w:hAnsi="Times New Roman" w:cs="Times New Roman"/>
          <w:sz w:val="24"/>
          <w:szCs w:val="24"/>
        </w:rPr>
        <w:t>CEER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580B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posmatrča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Briselu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Balkanski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Bugarska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Makedonija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Crna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Albanija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580B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stabilizaciji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klimatske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Podgrupe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koordinacionog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pregovore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pristupanju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pregovaračka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80B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firma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strukturu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planiranih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29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polovina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prenešena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narednu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polovina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uplaćena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disbalans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putovalo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održavane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onlajn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iskazan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29.619227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50%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14.809.613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narednu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magistar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nauka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dokumentacija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tabeli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starosna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stažu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60-70%,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starija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zadovoljavajuća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specifično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4,9%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izolacije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kupaca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1,2%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zanimljivo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6,8%,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7,2%,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13,6%.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pokazatelj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krenula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najbolje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pouzadano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Devedesetih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dešavalo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70%.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47,48%,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odlična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13.334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gigavat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37,7%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bruto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bruto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Hidrologija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hidrologije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14,9%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potražnja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milijarde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procentualno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86%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potražnja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atraktivan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sajtu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najjeftiniji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grejanje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uporede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gasifikacija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gasifikacije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uključuju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otvraju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postavili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dali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sugestije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kineskom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toplovoda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Obrenovac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nepokretnosti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izvršavao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pritužbama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isporučene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iskakanjem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Kolubari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ubacuje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kotlove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6;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sadnjom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zelenog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prstena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planiranog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Rudarskom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basenu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Koloubara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zeleni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prsten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umanjio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zagđenje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neplanirane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uslediti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implikacija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usaglasi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spoljnu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spoljnom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klauzulu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nacionalizuje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individualne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pametno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doživi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kuršlus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razlikuje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preuzima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greše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individualne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kuće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isporučene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dozvoljenog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dozvoljenog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trafo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Aranđelovcu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35C7F" w:rsidRDefault="00E35C7F" w:rsidP="00E35C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zelenu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ugašena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zanimljivih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provereno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statistike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dosadašnjoj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dostavljali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naponskim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prilikama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komercijalnog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pritužbe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varira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namenjen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potrošače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revitalizovani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Termo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Tesla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nastavljeni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izgradnji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termobloka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Termoelektrani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350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megavata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prevaziđena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prestati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kriterijum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ugroženog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kupca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mesečna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28.896,69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nizak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limit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68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umanjenje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850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ivici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siromštva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greje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spadaju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kategoriju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sufinansiranje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utrošenu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uzme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obzir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kategoriju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plaćanjem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remontovan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uzroci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najvećem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elektroenergetskom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Jugoistočnoj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zaboravlja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rafineriju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smisla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industrije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očekivati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socijalnu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dobavljači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brendovi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maloprodajom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ogrničila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pokušava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zamrzavanjem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izvoza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goriva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smanji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ograniče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robnih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rezervi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2008.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sirove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ratifikuje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komercijalnom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sankcije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poklopila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verovatno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primetilo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skokova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ozbiljnijim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bogatijim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pokrivala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lancu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transporta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visoknaponske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podeljeno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Elektromreža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maloprodajom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berza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stabilnosti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uložen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trud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obonovljivim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usvojiti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privatizovan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odlučivao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skuplji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benzin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54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umanjena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15%.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rebalansu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derivate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smanjena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smanjenja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industrija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privatizovana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gubitak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tehnologija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rafineriji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prilično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zastarela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ipak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povoljniji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Razmišljanje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nacionalizuje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pretrpelo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stradali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64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sačuva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Škundrić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Dizel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opredeljenje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krovovima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individualnih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ispravna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instalirala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5,6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gigavata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ponudi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investiciju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uštedu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napravi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ESKO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pomogao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finansijsku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Zvanična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krovova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35C7F" w:rsidRDefault="00E35C7F" w:rsidP="00E35C7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suštnski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numeričkih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uporednih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prikaza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konstatovano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9.)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pokazatelji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neprekidnosti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petogodišnjeg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neplanirnog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21,29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minuta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1,65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Neplanirani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prouzrokovani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poremećaja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opominjuće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resorno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postavljeno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obezbede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likvidan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prošloj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profit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ostvarivalo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gubitke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gubici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milijardu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rebalans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pozove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bruto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15%.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globalna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multiplikuje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kompleksnu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trogodišnji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redovnoj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Rusijom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najpovoljnije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najpovoljnijima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elemente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poznate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količine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elementi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zatraži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pozove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Srbiajgas</w:t>
      </w:r>
      <w:r>
        <w:rPr>
          <w:rFonts w:ascii="Times New Roman" w:hAnsi="Times New Roman" w:cs="Times New Roman"/>
          <w:sz w:val="24"/>
          <w:szCs w:val="24"/>
          <w:lang w:val="sr-Cyrl-RS"/>
        </w:rPr>
        <w:t>“-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zatvori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činioce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kreiraju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remont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Termoelektrane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stabilno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hiljade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dnevna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2300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megavat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Svilajnac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Pomoravski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okrug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sledeću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uvrsti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isporučene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uređaji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kupuju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granicama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dozvoljenog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dolazilo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benzinske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pumpe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gotovinske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račune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kupuje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akciza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naftu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Aranđelovcu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sagrđena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opremljena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najmodernijih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trafostanica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lokalno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Peštan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tražilo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parcela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obrađuju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protive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potezu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Trafo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četvrtu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zarasla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Aranđelovac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zarobljen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trafostanica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industrijskoj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slobodnih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ponude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potencijalnim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investitorima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čestitke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sveobuhvatnom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adekvatana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reagovanja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teškim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situacijama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prošlosti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manjini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učestovala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korektna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federacija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tajne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klauzule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široke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eventualno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federaciji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>
        <w:rPr>
          <w:rFonts w:ascii="Times New Roman" w:hAnsi="Times New Roman" w:cs="Times New Roman"/>
          <w:sz w:val="24"/>
          <w:szCs w:val="24"/>
          <w:lang w:val="sr-Cyrl-RS"/>
        </w:rPr>
        <w:t>“-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resornog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podsećanje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bombardovanje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uništene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rafinerije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Pančevu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kolenima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doživeli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kolaps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2008.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opravdana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prijatelj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krupnim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najsveobuhvatniji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Interesantno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navode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najkredibilnije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temama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zastupljenim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toplovode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EPS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ingerenciji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resornog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parametri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razlikuju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parametri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eletromreže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Crne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okružuju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tzv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granicama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petogodišnjeg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Elektrodistribuciji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Elektromreža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nosilac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uticao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pouzdanost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nabavne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definiše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nabavne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tenderima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fakturiše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sadržano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zaključen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dugoročni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RF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kratkoročne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dodatne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količine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itd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transparentno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vidljivo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detaljnije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pročita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Elektrodistribucija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ogranka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prikuplja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učestalost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itd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zaista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ogranaka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navodili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preopširan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pojednačne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žalbe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upućuju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Elektrodistribuciji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pojedinačnim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ruralna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napajanju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varira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prenosnom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izaziva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prekid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distributivnom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povezan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elektroenergetskim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okružuju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odražava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elektroeenergetskim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susednih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Elektromreža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napravila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lošiji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petogodišnji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prosek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uslovljeno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bloku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vršne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vršnog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opterećenja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Elektrodistribucije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problematična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razlikuje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opterećenost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naseljenost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naseljeno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enregetiku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troškovi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porastom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instalacija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udaljenih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trafo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interesovanje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zgrada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mrežu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osigurača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ampera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instalaciju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17,5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kilovata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priključi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="00651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Solarnim</w:t>
      </w:r>
      <w:r w:rsidR="00651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panelima</w:t>
      </w:r>
      <w:r w:rsidR="00651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1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vetroelektranama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upravljaju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priroda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izražeja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podržati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zaista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sistemski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zadatku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Sandić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(14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“)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5C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35C7F" w:rsidRDefault="00E35C7F" w:rsidP="00E35C7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1. „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Godišnji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zveštaj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radu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35C7F" w:rsidRDefault="00E35C7F" w:rsidP="00E3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zaključak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objaviti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Službenom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glasniku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”»</w:t>
      </w:r>
    </w:p>
    <w:p w:rsidR="00E35C7F" w:rsidRDefault="00E35C7F" w:rsidP="00E3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predstavnika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Radenković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35C7F" w:rsidRPr="00E35C7F" w:rsidRDefault="00E35C7F" w:rsidP="00E35C7F">
      <w:pPr>
        <w:tabs>
          <w:tab w:val="center" w:pos="6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E35C7F" w:rsidRDefault="00E35C7F" w:rsidP="00E3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F96" w:rsidRDefault="00C203B6" w:rsidP="00643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643F96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643F96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643F96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643F96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Godišnji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Komisije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zaštitu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konkurencije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43F96" w:rsidRPr="00643F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</w:p>
    <w:p w:rsidR="00643F96" w:rsidRDefault="00643F96" w:rsidP="00643F96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tekuće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237.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239.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237.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najvažnijim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aspektima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pregled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najvažnijih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postupaka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vrše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izbornu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rema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23.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redsednika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Komisije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konkurencije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članove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Saveta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bira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razrešava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Narodna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skupština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predlog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O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</w:rPr>
        <w:t>dbora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privredu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regionalni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razvoj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trgovinu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turizam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energetiku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.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kontinuitet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najznačajnijih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obeležila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pandemija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virusa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Kovid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ostavrila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rekordan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2006.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608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20 %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Prihodi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45 %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planirane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55 %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70%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rashodima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uplaćen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funkcionalnu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operativnu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najznačajnijim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aktvnostima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restriktivni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ispitivanja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pregovorima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unijom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pregovaračkog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Poglavlja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domaća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najznačajnijih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ispitivanje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okončala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predmeta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predmeta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restriktivne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zloupotrebu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dominantnog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117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Istovremeno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pokrenula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restriktivni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zloupotrebu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dominantnog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glavnih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aspekata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budućem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svakako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otkrivanju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najtežih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segment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pojedinačnih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restritivnih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obustavljena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propisani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zabranjeni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prokompetativna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praktično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pozitivne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segmenata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ispitni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pragove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odeređenih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statusnih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dužni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podnesu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233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211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skraćenom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bezuslovno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obustave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rekordan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važnih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elemenata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sagledavanje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odeređenim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oslanja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sopstvene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sprovela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keramičkih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pločica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sanitarija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udžbenika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međumesnog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prevoza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Spovedena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reaktivna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kažnjava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učesnike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preventivnu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ulogu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uočeno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nehata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promociji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tekućoj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obavljala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643F96" w:rsidRDefault="00643F96" w:rsidP="0043688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obimniji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pojedinačnih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restritivnih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vrsta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obrazloženje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Primećeno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subjekt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pojavljuje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preduzeću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pojavljuje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neposredno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pasivni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rešenjem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maksimum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komunikaciji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Vladimira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Lučića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saradnicima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potiskivanja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prodaji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fiksne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mobilne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telefonije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interneta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ustupanjem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potpuna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dominacija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Telekomovih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sadržaje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Junajtid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Junajtid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SBB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zabrinjavajuće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uvid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obrazloženje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F96" w:rsidRDefault="00643F96" w:rsidP="0043688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propisuje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najvećih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primeren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pojavljuje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dogovorenih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kartelskog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udruživanja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koncentracija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istragom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neguje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preispituje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dogovore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Primećeno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ingerencije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dozvoljavaju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istrage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ozbiljnije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strukturom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dogovorom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dobavljača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funkcionisanja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vertikalnog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horizontalnog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koordinisanja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provrednih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vidljivija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pohvale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uređivačku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firme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nadmeću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dozvoljenim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Upućena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ideju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angažovao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desetinama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navikle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nameću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funkcionisanja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distribucije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servisa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hrabrosti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izostati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Visoki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funkcioneri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smeli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vode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kampanju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odeređenih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postupci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F96" w:rsidRDefault="00643F96" w:rsidP="00643F9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2004.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prijavljivanja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restriktivnih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njihovom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značaju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prepuštena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njihovoj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samoproceni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sajtu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izazivao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objavljivanja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nikakvih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primedbi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Telekoma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fiksne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fiksne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krajnjeg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Budući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optičkih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kablova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obratila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regulisana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zadužena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konkurenciju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izuzeća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sedam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rukovodila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periodom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uslovno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odobrila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sporazume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sektorskog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regulisana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Telenora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započinje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konkretno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pojavljivanje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trećeg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dobrobit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potrošače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Radenković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Miodrag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Gavrilović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3F96" w:rsidRDefault="00643F96" w:rsidP="00643F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Odbor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većinom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glasova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11"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3 "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uzdržan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“)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prihvatio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Godišnji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radu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Komisije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zaštitu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konkurencije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2021.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godinu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podneo</w:t>
      </w:r>
      <w:r w:rsidR="00EF1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Narodnoj</w:t>
      </w:r>
      <w:r w:rsidR="00EF1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skupštini</w:t>
      </w:r>
      <w:r w:rsidR="00EF1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Izveštaj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sa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Predlogom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ru-RU"/>
        </w:rPr>
        <w:t>zaključka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F1090" w:rsidRDefault="00EF1090" w:rsidP="00EF1090">
      <w:pPr>
        <w:tabs>
          <w:tab w:val="center" w:pos="6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„1.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Godišnji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zveštaj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radu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konkurencije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2021.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F1090" w:rsidRDefault="008300A6" w:rsidP="00EF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Ovaj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zaključak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objaviti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Službenom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glasniku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="00EF10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”. </w:t>
      </w:r>
    </w:p>
    <w:p w:rsidR="00643F96" w:rsidRDefault="00643F96" w:rsidP="00643F96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predstavnika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predlagača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Radenković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3F96" w:rsidRDefault="00643F96" w:rsidP="00EF1090">
      <w:pPr>
        <w:tabs>
          <w:tab w:val="center" w:pos="6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43F96" w:rsidRDefault="00643F96" w:rsidP="00643F96">
      <w:pPr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ab/>
      </w:r>
    </w:p>
    <w:p w:rsidR="00A27478" w:rsidRDefault="00C203B6" w:rsidP="006C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Četvrta</w:t>
      </w:r>
      <w:r w:rsidR="00A27478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A27478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A27478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A27478" w:rsidRPr="00BC456E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Određivanje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članova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delegacije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učešće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sastanku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Parlamentarnog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plenuma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Energetske</w:t>
      </w:r>
      <w:r w:rsidR="00A27478" w:rsidRPr="005D3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zajednice</w:t>
      </w:r>
    </w:p>
    <w:p w:rsidR="006C24C2" w:rsidRPr="006C24C2" w:rsidRDefault="006C24C2" w:rsidP="005B353C">
      <w:pPr>
        <w:pStyle w:val="Bodytext30"/>
        <w:shd w:val="clear" w:color="auto" w:fill="auto"/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informisao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"/>
        </w:rPr>
        <w:t>Zeleni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hAnsi="Times New Roman" w:cs="Times New Roman"/>
          <w:sz w:val="24"/>
          <w:szCs w:val="24"/>
          <w:lang w:val="sr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"/>
        </w:rPr>
        <w:t>parlamentarni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hAnsi="Times New Roman" w:cs="Times New Roman"/>
          <w:sz w:val="24"/>
          <w:szCs w:val="24"/>
          <w:lang w:val="sr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"/>
        </w:rPr>
        <w:t>grupa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ma</w:t>
      </w:r>
      <w:r>
        <w:rPr>
          <w:rFonts w:ascii="Times New Roman" w:hAnsi="Times New Roman" w:cs="Times New Roman"/>
          <w:sz w:val="24"/>
          <w:szCs w:val="24"/>
          <w:lang w:val="sr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"/>
        </w:rPr>
        <w:t>Zapadnog</w:t>
      </w:r>
      <w:r>
        <w:rPr>
          <w:rFonts w:ascii="Times New Roman" w:hAnsi="Times New Roman" w:cs="Times New Roman"/>
          <w:sz w:val="24"/>
          <w:szCs w:val="24"/>
          <w:lang w:val="sr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"/>
        </w:rPr>
        <w:t>Balkana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C203B6">
        <w:rPr>
          <w:rFonts w:ascii="Times New Roman" w:hAnsi="Times New Roman" w:cs="Times New Roman"/>
          <w:sz w:val="24"/>
          <w:szCs w:val="24"/>
        </w:rPr>
        <w:t>osvećen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iskustava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klimatskih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postepenom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ukidanju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krize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siromaštvu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6.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razmenjeni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enegenata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Ministarski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održanom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Tirani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redovnih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potpisnica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pruža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ostvarenju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jačanju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demokratskog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legitimiteta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transparentnosti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gospodin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Artur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Lorkovski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Poljak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ratifikaciji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dostavlja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redavan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Ministarskog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napretku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predsedavali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sazivima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Poslovniku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nacionalnu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delegaciju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Pr="006C24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zamenjuju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00A6" w:rsidRDefault="005B353C" w:rsidP="005B353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7478" w:rsidRPr="001C4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A27478" w:rsidRPr="001C43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D2656" w:rsidRP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="00AD2656" w:rsidRPr="001C4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AD2656" w:rsidRPr="001C4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2656" w:rsidRPr="001C4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zastupaju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intrese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946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A27478" w:rsidRDefault="008300A6" w:rsidP="005B353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učestovali</w:t>
      </w:r>
      <w:r w:rsidR="00E946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Radenković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946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Zečević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5B3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 w:rsidR="00AD26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7478" w:rsidRPr="00EE20F7" w:rsidRDefault="005B353C" w:rsidP="005B353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A2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odredio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Radenkovića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Aleksandru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Parlamentarnom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plenumu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PPEnZ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Miodraga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Gavrilovića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Zorana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Sandića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27478" w:rsidRPr="006450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0EE4" w:rsidRDefault="00970EE4" w:rsidP="00A274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0EE4" w:rsidRPr="00A50BE8" w:rsidRDefault="00970EE4" w:rsidP="00970EE4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970EE4" w:rsidRDefault="00970EE4" w:rsidP="00970EE4">
      <w:pPr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0B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live stream-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snimana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zapis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stranici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A50B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970EE4" w:rsidRPr="00A50BE8" w:rsidRDefault="00970EE4" w:rsidP="00970EE4">
      <w:pPr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27478" w:rsidRDefault="00A27478" w:rsidP="00A27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27478" w:rsidRDefault="00A27478" w:rsidP="00A27478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A27478" w:rsidRDefault="00A27478" w:rsidP="00A27478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7478" w:rsidRDefault="00A27478" w:rsidP="00A27478">
      <w:pPr>
        <w:tabs>
          <w:tab w:val="left" w:pos="284"/>
          <w:tab w:val="center" w:pos="7088"/>
        </w:tabs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Balać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3B6">
        <w:rPr>
          <w:rFonts w:ascii="Times New Roman" w:hAnsi="Times New Roman" w:cs="Times New Roman"/>
          <w:sz w:val="24"/>
          <w:szCs w:val="24"/>
          <w:lang w:val="sr-Cyrl-RS"/>
        </w:rPr>
        <w:t>Radenković</w:t>
      </w:r>
    </w:p>
    <w:p w:rsidR="00A27478" w:rsidRDefault="00A27478" w:rsidP="00A27478">
      <w:pPr>
        <w:rPr>
          <w:lang w:val="sr-Cyrl-RS"/>
        </w:rPr>
      </w:pPr>
    </w:p>
    <w:p w:rsidR="00970EE4" w:rsidRDefault="00970EE4" w:rsidP="001C5F4D"/>
    <w:sectPr w:rsidR="00970EE4" w:rsidSect="00EF1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041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25" w:rsidRDefault="00122725" w:rsidP="00C01904">
      <w:pPr>
        <w:spacing w:after="0" w:line="240" w:lineRule="auto"/>
      </w:pPr>
      <w:r>
        <w:separator/>
      </w:r>
    </w:p>
  </w:endnote>
  <w:endnote w:type="continuationSeparator" w:id="0">
    <w:p w:rsidR="00122725" w:rsidRDefault="00122725" w:rsidP="00C0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B6" w:rsidRDefault="00C20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B6" w:rsidRDefault="00C20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B6" w:rsidRDefault="00C20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25" w:rsidRDefault="00122725" w:rsidP="00C01904">
      <w:pPr>
        <w:spacing w:after="0" w:line="240" w:lineRule="auto"/>
      </w:pPr>
      <w:r>
        <w:separator/>
      </w:r>
    </w:p>
  </w:footnote>
  <w:footnote w:type="continuationSeparator" w:id="0">
    <w:p w:rsidR="00122725" w:rsidRDefault="00122725" w:rsidP="00C0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B6" w:rsidRDefault="00C20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4168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1904" w:rsidRDefault="00C019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3B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01904" w:rsidRDefault="00C019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B6" w:rsidRDefault="00C203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2E3"/>
    <w:multiLevelType w:val="hybridMultilevel"/>
    <w:tmpl w:val="509036B8"/>
    <w:lvl w:ilvl="0" w:tplc="A378CF24">
      <w:start w:val="1"/>
      <w:numFmt w:val="decimal"/>
      <w:lvlText w:val="%1."/>
      <w:lvlJc w:val="right"/>
      <w:pPr>
        <w:ind w:left="360" w:hanging="360"/>
      </w:pPr>
      <w:rPr>
        <w:rFonts w:cs="Times New Roman"/>
        <w:b w:val="0"/>
        <w:i w:val="0"/>
        <w:spacing w:val="20"/>
        <w:position w:val="-2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57E85"/>
    <w:multiLevelType w:val="hybridMultilevel"/>
    <w:tmpl w:val="EC88C4A6"/>
    <w:lvl w:ilvl="0" w:tplc="B566B5C6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D7A19"/>
    <w:multiLevelType w:val="hybridMultilevel"/>
    <w:tmpl w:val="6B007A62"/>
    <w:lvl w:ilvl="0" w:tplc="188CF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4D"/>
    <w:rsid w:val="000A502F"/>
    <w:rsid w:val="00122725"/>
    <w:rsid w:val="00181893"/>
    <w:rsid w:val="001A3FF5"/>
    <w:rsid w:val="001C5F4D"/>
    <w:rsid w:val="00201E94"/>
    <w:rsid w:val="0024487A"/>
    <w:rsid w:val="00263DFF"/>
    <w:rsid w:val="002961A8"/>
    <w:rsid w:val="003155DF"/>
    <w:rsid w:val="003212FE"/>
    <w:rsid w:val="00327146"/>
    <w:rsid w:val="00387980"/>
    <w:rsid w:val="003A632A"/>
    <w:rsid w:val="003E2EC9"/>
    <w:rsid w:val="00400643"/>
    <w:rsid w:val="00434AB3"/>
    <w:rsid w:val="0043688F"/>
    <w:rsid w:val="0049161D"/>
    <w:rsid w:val="004B65A0"/>
    <w:rsid w:val="004F0F7C"/>
    <w:rsid w:val="004F2DE6"/>
    <w:rsid w:val="00551D48"/>
    <w:rsid w:val="00556DDA"/>
    <w:rsid w:val="00580B42"/>
    <w:rsid w:val="00597B93"/>
    <w:rsid w:val="005B353C"/>
    <w:rsid w:val="005C2E0E"/>
    <w:rsid w:val="005D4512"/>
    <w:rsid w:val="00616C09"/>
    <w:rsid w:val="00643F96"/>
    <w:rsid w:val="00651095"/>
    <w:rsid w:val="006C24C2"/>
    <w:rsid w:val="00724FC5"/>
    <w:rsid w:val="00735F2B"/>
    <w:rsid w:val="0074392C"/>
    <w:rsid w:val="00761B0E"/>
    <w:rsid w:val="0078204D"/>
    <w:rsid w:val="007E1CC5"/>
    <w:rsid w:val="008300A6"/>
    <w:rsid w:val="008B537B"/>
    <w:rsid w:val="008D7555"/>
    <w:rsid w:val="00915082"/>
    <w:rsid w:val="00970EE4"/>
    <w:rsid w:val="009A0AAF"/>
    <w:rsid w:val="009A734E"/>
    <w:rsid w:val="009B379D"/>
    <w:rsid w:val="009F4EA2"/>
    <w:rsid w:val="00A20693"/>
    <w:rsid w:val="00A27478"/>
    <w:rsid w:val="00AD2656"/>
    <w:rsid w:val="00AD77FB"/>
    <w:rsid w:val="00BB413E"/>
    <w:rsid w:val="00C01904"/>
    <w:rsid w:val="00C1660F"/>
    <w:rsid w:val="00C203B6"/>
    <w:rsid w:val="00CA1234"/>
    <w:rsid w:val="00D13E9C"/>
    <w:rsid w:val="00D6766E"/>
    <w:rsid w:val="00D75754"/>
    <w:rsid w:val="00DA16F1"/>
    <w:rsid w:val="00DD3369"/>
    <w:rsid w:val="00DD4639"/>
    <w:rsid w:val="00E35C7F"/>
    <w:rsid w:val="00E93F00"/>
    <w:rsid w:val="00E94670"/>
    <w:rsid w:val="00EC1C1C"/>
    <w:rsid w:val="00EF0695"/>
    <w:rsid w:val="00EF1090"/>
    <w:rsid w:val="00F138EF"/>
    <w:rsid w:val="00F80854"/>
    <w:rsid w:val="00FB27A5"/>
    <w:rsid w:val="00F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C2E0E"/>
  </w:style>
  <w:style w:type="paragraph" w:styleId="NormalWeb">
    <w:name w:val="Normal (Web)"/>
    <w:basedOn w:val="Normal"/>
    <w:rsid w:val="00DD336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">
    <w:name w:val="Body text (3)_"/>
    <w:link w:val="Bodytext30"/>
    <w:locked/>
    <w:rsid w:val="006C24C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C24C2"/>
    <w:pPr>
      <w:widowControl w:val="0"/>
      <w:shd w:val="clear" w:color="auto" w:fill="FFFFFF"/>
      <w:spacing w:after="0" w:line="206" w:lineRule="exact"/>
      <w:jc w:val="both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DA16F1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C0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04"/>
  </w:style>
  <w:style w:type="paragraph" w:styleId="Footer">
    <w:name w:val="footer"/>
    <w:basedOn w:val="Normal"/>
    <w:link w:val="FooterChar"/>
    <w:uiPriority w:val="99"/>
    <w:unhideWhenUsed/>
    <w:rsid w:val="00C0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04"/>
  </w:style>
  <w:style w:type="character" w:customStyle="1" w:styleId="Bodytext2">
    <w:name w:val="Body text (2)_"/>
    <w:basedOn w:val="DefaultParagraphFont"/>
    <w:link w:val="Bodytext20"/>
    <w:locked/>
    <w:rsid w:val="00E35C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35C7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DefaultParagraphFont"/>
    <w:link w:val="Bodytext40"/>
    <w:locked/>
    <w:rsid w:val="00E35C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35C7F"/>
    <w:pPr>
      <w:widowControl w:val="0"/>
      <w:shd w:val="clear" w:color="auto" w:fill="FFFFFF"/>
      <w:spacing w:before="280" w:after="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Bodytext4NotBold">
    <w:name w:val="Body text (4) + Not Bold"/>
    <w:basedOn w:val="Bodytext4"/>
    <w:rsid w:val="00E35C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C2E0E"/>
  </w:style>
  <w:style w:type="paragraph" w:styleId="NormalWeb">
    <w:name w:val="Normal (Web)"/>
    <w:basedOn w:val="Normal"/>
    <w:rsid w:val="00DD336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">
    <w:name w:val="Body text (3)_"/>
    <w:link w:val="Bodytext30"/>
    <w:locked/>
    <w:rsid w:val="006C24C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C24C2"/>
    <w:pPr>
      <w:widowControl w:val="0"/>
      <w:shd w:val="clear" w:color="auto" w:fill="FFFFFF"/>
      <w:spacing w:after="0" w:line="206" w:lineRule="exact"/>
      <w:jc w:val="both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DA16F1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C0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04"/>
  </w:style>
  <w:style w:type="paragraph" w:styleId="Footer">
    <w:name w:val="footer"/>
    <w:basedOn w:val="Normal"/>
    <w:link w:val="FooterChar"/>
    <w:uiPriority w:val="99"/>
    <w:unhideWhenUsed/>
    <w:rsid w:val="00C0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04"/>
  </w:style>
  <w:style w:type="character" w:customStyle="1" w:styleId="Bodytext2">
    <w:name w:val="Body text (2)_"/>
    <w:basedOn w:val="DefaultParagraphFont"/>
    <w:link w:val="Bodytext20"/>
    <w:locked/>
    <w:rsid w:val="00E35C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35C7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DefaultParagraphFont"/>
    <w:link w:val="Bodytext40"/>
    <w:locked/>
    <w:rsid w:val="00E35C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35C7F"/>
    <w:pPr>
      <w:widowControl w:val="0"/>
      <w:shd w:val="clear" w:color="auto" w:fill="FFFFFF"/>
      <w:spacing w:before="280" w:after="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Bodytext4NotBold">
    <w:name w:val="Body text (4) + Not Bold"/>
    <w:basedOn w:val="Bodytext4"/>
    <w:rsid w:val="00E35C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9940</Words>
  <Characters>56660</Characters>
  <Application>Microsoft Office Word</Application>
  <DocSecurity>0</DocSecurity>
  <Lines>472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Nikola Pavic</cp:lastModifiedBy>
  <cp:revision>2</cp:revision>
  <dcterms:created xsi:type="dcterms:W3CDTF">2023-03-17T10:22:00Z</dcterms:created>
  <dcterms:modified xsi:type="dcterms:W3CDTF">2023-03-17T10:22:00Z</dcterms:modified>
</cp:coreProperties>
</file>